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693F" w14:textId="77777777" w:rsidR="00736660" w:rsidRDefault="00000000">
      <w:pPr>
        <w:spacing w:after="400"/>
        <w:jc w:val="center"/>
      </w:pPr>
      <w:r>
        <w:rPr>
          <w:noProof/>
        </w:rPr>
        <w:drawing>
          <wp:inline distT="0" distB="0" distL="0" distR="0" wp14:anchorId="5F934648" wp14:editId="2FFC119F">
            <wp:extent cx="2667000" cy="2124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58276" w14:textId="77777777" w:rsidR="00736660" w:rsidRPr="00D54D50" w:rsidRDefault="00000000">
      <w:pPr>
        <w:spacing w:after="120"/>
        <w:rPr>
          <w:lang w:val="en-GB"/>
        </w:rPr>
      </w:pPr>
      <w:r w:rsidRPr="00D54D50">
        <w:rPr>
          <w:b/>
          <w:bCs/>
          <w:color w:val="115E67"/>
          <w:sz w:val="36"/>
          <w:szCs w:val="36"/>
          <w:lang w:val="en-GB"/>
        </w:rPr>
        <w:t>Code of Conduct for Lobbying and Interest Representation</w:t>
      </w:r>
    </w:p>
    <w:p w14:paraId="65CAA3FC" w14:textId="77777777" w:rsidR="00736660" w:rsidRPr="00D54D50" w:rsidRDefault="00000000">
      <w:pPr>
        <w:spacing w:after="120" w:line="290" w:lineRule="auto"/>
        <w:rPr>
          <w:lang w:val="en-GB"/>
        </w:rPr>
      </w:pPr>
      <w:r w:rsidRPr="00D54D50">
        <w:rPr>
          <w:color w:val="5A6270"/>
          <w:lang w:val="en-GB"/>
        </w:rPr>
        <w:t xml:space="preserve">Claudia Arthur </w:t>
      </w:r>
      <w:proofErr w:type="spellStart"/>
      <w:r w:rsidRPr="00D54D50">
        <w:rPr>
          <w:color w:val="5A6270"/>
          <w:lang w:val="en-GB"/>
        </w:rPr>
        <w:t>Flatz</w:t>
      </w:r>
      <w:proofErr w:type="spellEnd"/>
      <w:r w:rsidRPr="00D54D50">
        <w:rPr>
          <w:color w:val="5A6270"/>
          <w:lang w:val="en-GB"/>
        </w:rPr>
        <w:t xml:space="preserve"> Consulting </w:t>
      </w:r>
      <w:proofErr w:type="spellStart"/>
      <w:r w:rsidRPr="00D54D50">
        <w:rPr>
          <w:color w:val="5A6270"/>
          <w:lang w:val="en-GB"/>
        </w:rPr>
        <w:t>FlexCo</w:t>
      </w:r>
      <w:proofErr w:type="spellEnd"/>
      <w:r w:rsidRPr="00D54D50">
        <w:rPr>
          <w:color w:val="5A6270"/>
          <w:lang w:val="en-GB"/>
        </w:rPr>
        <w:t xml:space="preserve"> · FN 633868 </w:t>
      </w:r>
      <w:proofErr w:type="spellStart"/>
      <w:r w:rsidRPr="00D54D50">
        <w:rPr>
          <w:color w:val="5A6270"/>
          <w:lang w:val="en-GB"/>
        </w:rPr>
        <w:t>i</w:t>
      </w:r>
      <w:proofErr w:type="spellEnd"/>
      <w:r w:rsidRPr="00D54D50">
        <w:rPr>
          <w:color w:val="5A6270"/>
          <w:lang w:val="en-GB"/>
        </w:rPr>
        <w:t xml:space="preserve"> · pursuant to Section 7 of the Austrian Lobbying and Interest Representation Transparency Act (</w:t>
      </w:r>
      <w:proofErr w:type="spellStart"/>
      <w:r w:rsidRPr="00D54D50">
        <w:rPr>
          <w:color w:val="5A6270"/>
          <w:lang w:val="en-GB"/>
        </w:rPr>
        <w:t>LobbyG</w:t>
      </w:r>
      <w:proofErr w:type="spellEnd"/>
      <w:r w:rsidRPr="00D54D50">
        <w:rPr>
          <w:color w:val="5A6270"/>
          <w:lang w:val="en-GB"/>
        </w:rPr>
        <w:t>)</w:t>
      </w:r>
    </w:p>
    <w:p w14:paraId="2A01E073" w14:textId="77777777" w:rsidR="00736660" w:rsidRPr="00D54D50" w:rsidRDefault="00000000">
      <w:pPr>
        <w:keepNext/>
        <w:pBdr>
          <w:bottom w:val="single" w:sz="6" w:space="4" w:color="115E67"/>
        </w:pBdr>
        <w:spacing w:before="320" w:after="140"/>
        <w:rPr>
          <w:lang w:val="en-GB"/>
        </w:rPr>
      </w:pPr>
      <w:r w:rsidRPr="00D54D50">
        <w:rPr>
          <w:b/>
          <w:bCs/>
          <w:color w:val="115E67"/>
          <w:sz w:val="26"/>
          <w:szCs w:val="26"/>
          <w:lang w:val="en-GB"/>
        </w:rPr>
        <w:t>Preamble</w:t>
      </w:r>
    </w:p>
    <w:p w14:paraId="250C76D1" w14:textId="76EC6F8E" w:rsidR="00736660" w:rsidRPr="00D54D50" w:rsidRDefault="00000000">
      <w:pPr>
        <w:spacing w:after="120" w:line="290" w:lineRule="auto"/>
        <w:rPr>
          <w:lang w:val="en-GB"/>
        </w:rPr>
      </w:pPr>
      <w:r w:rsidRPr="00D54D50">
        <w:rPr>
          <w:lang w:val="en-GB"/>
        </w:rPr>
        <w:t xml:space="preserve">Claudia Arthur </w:t>
      </w:r>
      <w:proofErr w:type="spellStart"/>
      <w:r w:rsidRPr="00D54D50">
        <w:rPr>
          <w:lang w:val="en-GB"/>
        </w:rPr>
        <w:t>Flatz</w:t>
      </w:r>
      <w:proofErr w:type="spellEnd"/>
      <w:r w:rsidRPr="00D54D50">
        <w:rPr>
          <w:lang w:val="en-GB"/>
        </w:rPr>
        <w:t xml:space="preserve"> Consulting </w:t>
      </w:r>
      <w:proofErr w:type="spellStart"/>
      <w:r w:rsidRPr="00D54D50">
        <w:rPr>
          <w:lang w:val="en-GB"/>
        </w:rPr>
        <w:t>FlexCo</w:t>
      </w:r>
      <w:proofErr w:type="spellEnd"/>
      <w:r w:rsidRPr="00D54D50">
        <w:rPr>
          <w:lang w:val="en-GB"/>
        </w:rPr>
        <w:t xml:space="preserve"> (“CAF Consulting”) advises companies</w:t>
      </w:r>
      <w:r w:rsidR="00D54D50">
        <w:rPr>
          <w:lang w:val="en-GB"/>
        </w:rPr>
        <w:t xml:space="preserve"> and </w:t>
      </w:r>
      <w:r w:rsidRPr="00D54D50">
        <w:rPr>
          <w:lang w:val="en-GB"/>
        </w:rPr>
        <w:t>owners on matters including public affairs, site development and reputation. We believe that interest representation is a legitimate and important part of democratic decision-making – but only when it is conducted openly, honestly and transparently.</w:t>
      </w:r>
    </w:p>
    <w:p w14:paraId="6A36FE00" w14:textId="77777777" w:rsidR="00736660" w:rsidRPr="00D54D50" w:rsidRDefault="00000000">
      <w:pPr>
        <w:spacing w:after="120" w:line="290" w:lineRule="auto"/>
        <w:rPr>
          <w:lang w:val="en-GB"/>
        </w:rPr>
      </w:pPr>
      <w:r w:rsidRPr="00D54D50">
        <w:rPr>
          <w:lang w:val="en-GB"/>
        </w:rPr>
        <w:t xml:space="preserve">This Code of Conduct forms the basis of all our lobbying activities and of every lobbying assignment. It applies in addition to our statutory obligations under the </w:t>
      </w:r>
      <w:proofErr w:type="spellStart"/>
      <w:r w:rsidRPr="00D54D50">
        <w:rPr>
          <w:lang w:val="en-GB"/>
        </w:rPr>
        <w:t>LobbyG</w:t>
      </w:r>
      <w:proofErr w:type="spellEnd"/>
      <w:r w:rsidRPr="00D54D50">
        <w:rPr>
          <w:lang w:val="en-GB"/>
        </w:rPr>
        <w:t>, the Austrian Criminal Code and all other applicable regulations.</w:t>
      </w:r>
    </w:p>
    <w:p w14:paraId="5ABB2A2E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>1. Scope</w:t>
      </w:r>
    </w:p>
    <w:p w14:paraId="594DFAEE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This Code applies to the management, all employees and all persons carrying out lobbying activities on behalf of CAF Consulting.</w:t>
      </w:r>
    </w:p>
    <w:p w14:paraId="1FA05C99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It applies to all dealings with public office holders at federal, state (Länder), municipal and inter-municipal level, as well as with institutions of the European Union.</w:t>
      </w:r>
    </w:p>
    <w:p w14:paraId="660D0EC7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>2. Registration</w:t>
      </w:r>
    </w:p>
    <w:p w14:paraId="1DFCE726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carry out lobbying activities only while registered in the Austrian Lobbying and Interest Representation Register.</w:t>
      </w:r>
    </w:p>
    <w:p w14:paraId="0A3C6424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All persons lobbying on our behalf are registered before they begin their activities. Every lobbying assignment is entered in the Register without delay once the contract has been concluded.</w:t>
      </w:r>
    </w:p>
    <w:p w14:paraId="49DA698E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report our annual lobbying revenue and number of assignments on time.</w:t>
      </w:r>
    </w:p>
    <w:p w14:paraId="5B105A6E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 xml:space="preserve">3. Transparency </w:t>
      </w:r>
      <w:proofErr w:type="spellStart"/>
      <w:r>
        <w:rPr>
          <w:b/>
          <w:bCs/>
          <w:color w:val="115E67"/>
          <w:sz w:val="22"/>
          <w:szCs w:val="22"/>
        </w:rPr>
        <w:t>towards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public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office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holders</w:t>
      </w:r>
      <w:proofErr w:type="spellEnd"/>
    </w:p>
    <w:p w14:paraId="1D6A12BE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At the first contact, we disclose our role, the identity of our client and the client's specific concerns.</w:t>
      </w:r>
    </w:p>
    <w:p w14:paraId="095DC244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never act covertly, under a false name or on the pretended behalf of third parties.</w:t>
      </w:r>
    </w:p>
    <w:p w14:paraId="6CF269DE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use third parties to circumvent disclosure.</w:t>
      </w:r>
    </w:p>
    <w:p w14:paraId="2AD44836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lastRenderedPageBreak/>
        <w:t xml:space="preserve">4. </w:t>
      </w:r>
      <w:proofErr w:type="spellStart"/>
      <w:r>
        <w:rPr>
          <w:b/>
          <w:bCs/>
          <w:color w:val="115E67"/>
          <w:sz w:val="22"/>
          <w:szCs w:val="22"/>
        </w:rPr>
        <w:t>Truthfulness</w:t>
      </w:r>
      <w:proofErr w:type="spellEnd"/>
      <w:r>
        <w:rPr>
          <w:b/>
          <w:bCs/>
          <w:color w:val="115E67"/>
          <w:sz w:val="22"/>
          <w:szCs w:val="22"/>
        </w:rPr>
        <w:t xml:space="preserve"> and honest </w:t>
      </w:r>
      <w:proofErr w:type="spellStart"/>
      <w:r>
        <w:rPr>
          <w:b/>
          <w:bCs/>
          <w:color w:val="115E67"/>
          <w:sz w:val="22"/>
          <w:szCs w:val="22"/>
        </w:rPr>
        <w:t>information</w:t>
      </w:r>
      <w:proofErr w:type="spellEnd"/>
    </w:p>
    <w:p w14:paraId="2CE2FC16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provide information that is, to the best of our knowledge, accurate, complete and not misleading. If we later become aware of an inaccuracy, we correct it without delay.</w:t>
      </w:r>
    </w:p>
    <w:p w14:paraId="1AEDA1E0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obtain information only by honest and lawful means and do not use confidential information that has been made available to us unlawfully.</w:t>
      </w:r>
    </w:p>
    <w:p w14:paraId="2967C599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 xml:space="preserve">5. </w:t>
      </w:r>
      <w:proofErr w:type="spellStart"/>
      <w:r>
        <w:rPr>
          <w:b/>
          <w:bCs/>
          <w:color w:val="115E67"/>
          <w:sz w:val="22"/>
          <w:szCs w:val="22"/>
        </w:rPr>
        <w:t>No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undue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pressure</w:t>
      </w:r>
      <w:proofErr w:type="spellEnd"/>
      <w:r>
        <w:rPr>
          <w:b/>
          <w:bCs/>
          <w:color w:val="115E67"/>
          <w:sz w:val="22"/>
          <w:szCs w:val="22"/>
        </w:rPr>
        <w:t xml:space="preserve">, </w:t>
      </w:r>
      <w:proofErr w:type="spellStart"/>
      <w:r>
        <w:rPr>
          <w:b/>
          <w:bCs/>
          <w:color w:val="115E67"/>
          <w:sz w:val="22"/>
          <w:szCs w:val="22"/>
        </w:rPr>
        <w:t>no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benefits</w:t>
      </w:r>
      <w:proofErr w:type="spellEnd"/>
    </w:p>
    <w:p w14:paraId="0D145367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exert unfair or undue pressure on public office holders.</w:t>
      </w:r>
    </w:p>
    <w:p w14:paraId="5FD06192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offer, promise or grant gifts, invitations, payments or any other benefits to public office holders or persons close to them.</w:t>
      </w:r>
    </w:p>
    <w:p w14:paraId="583BFEFF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make donations to political parties, members of parliament or party-affiliated organisations in connection with lobbying assignments.</w:t>
      </w:r>
    </w:p>
    <w:p w14:paraId="10B25821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 xml:space="preserve">6. </w:t>
      </w:r>
      <w:proofErr w:type="spellStart"/>
      <w:r>
        <w:rPr>
          <w:b/>
          <w:bCs/>
          <w:color w:val="115E67"/>
          <w:sz w:val="22"/>
          <w:szCs w:val="22"/>
        </w:rPr>
        <w:t>Respect</w:t>
      </w:r>
      <w:proofErr w:type="spellEnd"/>
      <w:r>
        <w:rPr>
          <w:b/>
          <w:bCs/>
          <w:color w:val="115E67"/>
          <w:sz w:val="22"/>
          <w:szCs w:val="22"/>
        </w:rPr>
        <w:t xml:space="preserve"> for </w:t>
      </w:r>
      <w:proofErr w:type="spellStart"/>
      <w:r>
        <w:rPr>
          <w:b/>
          <w:bCs/>
          <w:color w:val="115E67"/>
          <w:sz w:val="22"/>
          <w:szCs w:val="22"/>
        </w:rPr>
        <w:t>incompatibility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rules</w:t>
      </w:r>
      <w:proofErr w:type="spellEnd"/>
    </w:p>
    <w:p w14:paraId="24EB9526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know and respect the restrictions on activities and incompatibility rules applicable to public office holders, and we do not induce anyone to breach them.</w:t>
      </w:r>
    </w:p>
    <w:p w14:paraId="7CC59E41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engage serving public office holders as lobbyists within their own area of responsibility.</w:t>
      </w:r>
    </w:p>
    <w:p w14:paraId="44552072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 xml:space="preserve">7. </w:t>
      </w:r>
      <w:proofErr w:type="spellStart"/>
      <w:r>
        <w:rPr>
          <w:b/>
          <w:bCs/>
          <w:color w:val="115E67"/>
          <w:sz w:val="22"/>
          <w:szCs w:val="22"/>
        </w:rPr>
        <w:t>Obligations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towards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our</w:t>
      </w:r>
      <w:proofErr w:type="spellEnd"/>
      <w:r>
        <w:rPr>
          <w:b/>
          <w:bCs/>
          <w:color w:val="115E67"/>
          <w:sz w:val="22"/>
          <w:szCs w:val="22"/>
        </w:rPr>
        <w:t xml:space="preserve"> </w:t>
      </w:r>
      <w:proofErr w:type="spellStart"/>
      <w:r>
        <w:rPr>
          <w:b/>
          <w:bCs/>
          <w:color w:val="115E67"/>
          <w:sz w:val="22"/>
          <w:szCs w:val="22"/>
        </w:rPr>
        <w:t>clients</w:t>
      </w:r>
      <w:proofErr w:type="spellEnd"/>
    </w:p>
    <w:p w14:paraId="10CA8092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 xml:space="preserve">Before an assignment begins, we inform our clients of the obligations under the </w:t>
      </w:r>
      <w:proofErr w:type="spellStart"/>
      <w:r w:rsidRPr="00D54D50">
        <w:rPr>
          <w:lang w:val="en-GB"/>
        </w:rPr>
        <w:t>LobbyG</w:t>
      </w:r>
      <w:proofErr w:type="spellEnd"/>
      <w:r w:rsidRPr="00D54D50">
        <w:rPr>
          <w:lang w:val="en-GB"/>
        </w:rPr>
        <w:t xml:space="preserve"> and of the registration of their assignment in the Register.</w:t>
      </w:r>
    </w:p>
    <w:p w14:paraId="43B31BA2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Before an assignment begins, we provide an estimate of the expected fee and inform clients in good time of any foreseeable overrun.</w:t>
      </w:r>
    </w:p>
    <w:p w14:paraId="4937F157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claim relationships with public office holders that do not exist, and we do not promise any outcome of political or administrative decisions.</w:t>
      </w:r>
    </w:p>
    <w:p w14:paraId="02326822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agree success fees for lobbying activities.</w:t>
      </w:r>
    </w:p>
    <w:p w14:paraId="62D18570" w14:textId="77777777" w:rsidR="00736660" w:rsidRPr="00D54D50" w:rsidRDefault="00000000">
      <w:pPr>
        <w:keepNext/>
        <w:spacing w:before="200" w:after="80"/>
        <w:rPr>
          <w:lang w:val="en-GB"/>
        </w:rPr>
      </w:pPr>
      <w:r w:rsidRPr="00D54D50">
        <w:rPr>
          <w:b/>
          <w:bCs/>
          <w:color w:val="115E67"/>
          <w:sz w:val="22"/>
          <w:szCs w:val="22"/>
          <w:lang w:val="en-GB"/>
        </w:rPr>
        <w:t>8. Conflicts of interest and separation of business areas</w:t>
      </w:r>
    </w:p>
    <w:p w14:paraId="1AF91686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We do not accept assignments involving conflicting interests without informing the clients concerned and obtaining their consent.</w:t>
      </w:r>
    </w:p>
    <w:p w14:paraId="60E1CE52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CAF Consulting is also active in financial and capital markets advisory. Where CAF Consulting or its management has its own economic interest in a project alongside a lobbying assignment (for example from capital introductions or shareholdings), we disclose this to the client and – where relevant to the assessment of a concern – to public office holders.</w:t>
      </w:r>
    </w:p>
    <w:p w14:paraId="51B5101B" w14:textId="77777777" w:rsidR="00736660" w:rsidRPr="00D54D50" w:rsidRDefault="00000000">
      <w:pPr>
        <w:keepNext/>
        <w:spacing w:before="200" w:after="80"/>
        <w:rPr>
          <w:lang w:val="en-GB"/>
        </w:rPr>
      </w:pPr>
      <w:r w:rsidRPr="00D54D50">
        <w:rPr>
          <w:b/>
          <w:bCs/>
          <w:color w:val="115E67"/>
          <w:sz w:val="22"/>
          <w:szCs w:val="22"/>
          <w:lang w:val="en-GB"/>
        </w:rPr>
        <w:t>9. Confidentiality</w:t>
      </w:r>
    </w:p>
    <w:p w14:paraId="2A37C05D" w14:textId="77777777" w:rsidR="00736660" w:rsidRPr="00D54D50" w:rsidRDefault="00000000">
      <w:pPr>
        <w:spacing w:after="120" w:line="290" w:lineRule="auto"/>
        <w:rPr>
          <w:lang w:val="en-GB"/>
        </w:rPr>
      </w:pPr>
      <w:r w:rsidRPr="00D54D50">
        <w:rPr>
          <w:lang w:val="en-GB"/>
        </w:rPr>
        <w:t>We treat our clients' confidential information in strict confidence, unless statutory disclosure obligations apply.</w:t>
      </w:r>
    </w:p>
    <w:p w14:paraId="37DB807C" w14:textId="77777777" w:rsidR="00736660" w:rsidRDefault="00000000">
      <w:pPr>
        <w:keepNext/>
        <w:spacing w:before="200" w:after="80"/>
      </w:pPr>
      <w:r>
        <w:rPr>
          <w:b/>
          <w:bCs/>
          <w:color w:val="115E67"/>
          <w:sz w:val="22"/>
          <w:szCs w:val="22"/>
        </w:rPr>
        <w:t xml:space="preserve">10. Implementation, </w:t>
      </w:r>
      <w:proofErr w:type="spellStart"/>
      <w:r>
        <w:rPr>
          <w:b/>
          <w:bCs/>
          <w:color w:val="115E67"/>
          <w:sz w:val="22"/>
          <w:szCs w:val="22"/>
        </w:rPr>
        <w:t>monitoring</w:t>
      </w:r>
      <w:proofErr w:type="spellEnd"/>
      <w:r>
        <w:rPr>
          <w:b/>
          <w:bCs/>
          <w:color w:val="115E67"/>
          <w:sz w:val="22"/>
          <w:szCs w:val="22"/>
        </w:rPr>
        <w:t xml:space="preserve"> and </w:t>
      </w:r>
      <w:proofErr w:type="spellStart"/>
      <w:r>
        <w:rPr>
          <w:b/>
          <w:bCs/>
          <w:color w:val="115E67"/>
          <w:sz w:val="22"/>
          <w:szCs w:val="22"/>
        </w:rPr>
        <w:t>publication</w:t>
      </w:r>
      <w:proofErr w:type="spellEnd"/>
    </w:p>
    <w:p w14:paraId="7ADCE092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All persons working for us are bound to this Code in writing before commencing their activities.</w:t>
      </w:r>
    </w:p>
    <w:p w14:paraId="06A044D7" w14:textId="77777777" w:rsidR="00736660" w:rsidRPr="00D54D50" w:rsidRDefault="00000000">
      <w:pPr>
        <w:pStyle w:val="ListParagraph"/>
        <w:numPr>
          <w:ilvl w:val="0"/>
          <w:numId w:val="2"/>
        </w:numPr>
        <w:spacing w:after="60" w:line="280" w:lineRule="auto"/>
        <w:rPr>
          <w:lang w:val="en-GB"/>
        </w:rPr>
      </w:pPr>
      <w:r w:rsidRPr="00D54D50">
        <w:rPr>
          <w:lang w:val="en-GB"/>
        </w:rPr>
        <w:t>Breaches are investigated internally and remedied; in the case of serious breaches, we terminate the collaboration.</w:t>
      </w:r>
    </w:p>
    <w:p w14:paraId="4D7DB310" w14:textId="77777777" w:rsidR="00736660" w:rsidRDefault="00000000">
      <w:pPr>
        <w:pStyle w:val="ListParagraph"/>
        <w:numPr>
          <w:ilvl w:val="0"/>
          <w:numId w:val="2"/>
        </w:numPr>
        <w:spacing w:after="60" w:line="280" w:lineRule="auto"/>
      </w:pPr>
      <w:r w:rsidRPr="00D54D50">
        <w:rPr>
          <w:lang w:val="en-GB"/>
        </w:rPr>
        <w:t xml:space="preserve">This Code of Conduct is published at www.cafconsulting.at and will be provided to any interested party upon request. </w:t>
      </w:r>
      <w:r>
        <w:t xml:space="preserve">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at least </w:t>
      </w:r>
      <w:proofErr w:type="spellStart"/>
      <w:r>
        <w:t>once</w:t>
      </w:r>
      <w:proofErr w:type="spellEnd"/>
      <w:r>
        <w:t xml:space="preserve"> a </w:t>
      </w:r>
      <w:proofErr w:type="spellStart"/>
      <w:r>
        <w:t>year</w:t>
      </w:r>
      <w:proofErr w:type="spellEnd"/>
      <w:r>
        <w:t>.</w:t>
      </w:r>
    </w:p>
    <w:p w14:paraId="4874CF19" w14:textId="34402F45" w:rsidR="00D54D50" w:rsidRDefault="00D54D50">
      <w:r>
        <w:lastRenderedPageBreak/>
        <w:t>Vienna, 8 October 2026</w:t>
      </w:r>
    </w:p>
    <w:p w14:paraId="59A69D10" w14:textId="77777777" w:rsidR="00D54D50" w:rsidRDefault="00D54D50"/>
    <w:p w14:paraId="775119EA" w14:textId="77777777" w:rsidR="00D54D50" w:rsidRDefault="00D54D50"/>
    <w:p w14:paraId="64F6656F" w14:textId="4439C541" w:rsidR="00736660" w:rsidRPr="00D54D50" w:rsidRDefault="00000000">
      <w:pPr>
        <w:rPr>
          <w:lang w:val="en-GB"/>
        </w:rPr>
      </w:pPr>
      <w:r w:rsidRPr="00D54D50">
        <w:rPr>
          <w:lang w:val="en-GB"/>
        </w:rPr>
        <w:t>Claudia Arthur-Flatz, Managing Director</w:t>
      </w:r>
    </w:p>
    <w:p w14:paraId="5B9E363A" w14:textId="77777777" w:rsidR="00736660" w:rsidRPr="00D54D50" w:rsidRDefault="00000000">
      <w:pPr>
        <w:spacing w:after="120" w:line="290" w:lineRule="auto"/>
        <w:rPr>
          <w:lang w:val="en-GB"/>
        </w:rPr>
      </w:pPr>
      <w:r w:rsidRPr="00D54D50">
        <w:rPr>
          <w:color w:val="5A6270"/>
          <w:lang w:val="en-GB"/>
        </w:rPr>
        <w:t xml:space="preserve">Claudia Arthur </w:t>
      </w:r>
      <w:proofErr w:type="spellStart"/>
      <w:r w:rsidRPr="00D54D50">
        <w:rPr>
          <w:color w:val="5A6270"/>
          <w:lang w:val="en-GB"/>
        </w:rPr>
        <w:t>Flatz</w:t>
      </w:r>
      <w:proofErr w:type="spellEnd"/>
      <w:r w:rsidRPr="00D54D50">
        <w:rPr>
          <w:color w:val="5A6270"/>
          <w:lang w:val="en-GB"/>
        </w:rPr>
        <w:t xml:space="preserve"> Consulting </w:t>
      </w:r>
      <w:proofErr w:type="spellStart"/>
      <w:r w:rsidRPr="00D54D50">
        <w:rPr>
          <w:color w:val="5A6270"/>
          <w:lang w:val="en-GB"/>
        </w:rPr>
        <w:t>FlexCo</w:t>
      </w:r>
      <w:proofErr w:type="spellEnd"/>
    </w:p>
    <w:sectPr w:rsidR="00736660" w:rsidRPr="00D54D50">
      <w:headerReference w:type="default" r:id="rId8"/>
      <w:footerReference w:type="default" r:id="rId9"/>
      <w:headerReference w:type="first" r:id="rId10"/>
      <w:pgSz w:w="11906" w:h="16838"/>
      <w:pgMar w:top="1300" w:right="1440" w:bottom="130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5707" w14:textId="77777777" w:rsidR="005906B8" w:rsidRDefault="005906B8">
      <w:r>
        <w:separator/>
      </w:r>
    </w:p>
  </w:endnote>
  <w:endnote w:type="continuationSeparator" w:id="0">
    <w:p w14:paraId="23B918CA" w14:textId="77777777" w:rsidR="005906B8" w:rsidRDefault="00590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517C" w14:textId="77777777" w:rsidR="00736660" w:rsidRPr="00D54D50" w:rsidRDefault="00000000">
    <w:pPr>
      <w:jc w:val="center"/>
      <w:rPr>
        <w:lang w:val="en-GB"/>
      </w:rPr>
    </w:pPr>
    <w:r w:rsidRPr="00D54D50">
      <w:rPr>
        <w:color w:val="5A6270"/>
        <w:sz w:val="16"/>
        <w:szCs w:val="16"/>
        <w:lang w:val="en-GB"/>
      </w:rPr>
      <w:t xml:space="preserve">CAF Consulting · Code of Conduct pursuant to Section 7 LobbyG · Page </w:t>
    </w:r>
    <w:r>
      <w:rPr>
        <w:color w:val="5A6270"/>
        <w:sz w:val="16"/>
        <w:szCs w:val="16"/>
      </w:rPr>
      <w:fldChar w:fldCharType="begin"/>
    </w:r>
    <w:r w:rsidRPr="00D54D50">
      <w:rPr>
        <w:color w:val="5A6270"/>
        <w:sz w:val="16"/>
        <w:szCs w:val="16"/>
        <w:lang w:val="en-GB"/>
      </w:rPr>
      <w:instrText>PAGE</w:instrText>
    </w:r>
    <w:r>
      <w:rPr>
        <w:color w:val="5A6270"/>
        <w:sz w:val="16"/>
        <w:szCs w:val="16"/>
      </w:rPr>
      <w:fldChar w:fldCharType="separate"/>
    </w:r>
    <w:r w:rsidR="00D54D50" w:rsidRPr="00D54D50">
      <w:rPr>
        <w:noProof/>
        <w:color w:val="5A6270"/>
        <w:sz w:val="16"/>
        <w:szCs w:val="16"/>
        <w:lang w:val="en-GB"/>
      </w:rPr>
      <w:t>2</w:t>
    </w:r>
    <w:r>
      <w:rPr>
        <w:color w:val="5A627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50AE9" w14:textId="77777777" w:rsidR="005906B8" w:rsidRDefault="005906B8">
      <w:r>
        <w:separator/>
      </w:r>
    </w:p>
  </w:footnote>
  <w:footnote w:type="continuationSeparator" w:id="0">
    <w:p w14:paraId="05DDDF58" w14:textId="77777777" w:rsidR="005906B8" w:rsidRDefault="00590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22B1" w14:textId="77777777" w:rsidR="00736660" w:rsidRDefault="00000000">
    <w:pPr>
      <w:spacing w:after="120"/>
      <w:jc w:val="center"/>
    </w:pPr>
    <w:r>
      <w:rPr>
        <w:noProof/>
      </w:rPr>
      <w:drawing>
        <wp:inline distT="0" distB="0" distL="0" distR="0" wp14:anchorId="741B6540" wp14:editId="5A084A19">
          <wp:extent cx="704850" cy="571500"/>
          <wp:effectExtent l="0" t="0" r="0" b="0"/>
          <wp:docPr id="1999300221" name="Picture 1999300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4E94" w14:textId="77777777" w:rsidR="00736660" w:rsidRDefault="007366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C4B14"/>
    <w:multiLevelType w:val="hybridMultilevel"/>
    <w:tmpl w:val="15A0E66E"/>
    <w:lvl w:ilvl="0" w:tplc="AD507030">
      <w:start w:val="1"/>
      <w:numFmt w:val="bullet"/>
      <w:lvlText w:val="●"/>
      <w:lvlJc w:val="left"/>
      <w:pPr>
        <w:ind w:left="720" w:hanging="360"/>
      </w:pPr>
    </w:lvl>
    <w:lvl w:ilvl="1" w:tplc="7148411E">
      <w:start w:val="1"/>
      <w:numFmt w:val="bullet"/>
      <w:lvlText w:val="○"/>
      <w:lvlJc w:val="left"/>
      <w:pPr>
        <w:ind w:left="1440" w:hanging="360"/>
      </w:pPr>
    </w:lvl>
    <w:lvl w:ilvl="2" w:tplc="7D302F3C">
      <w:start w:val="1"/>
      <w:numFmt w:val="bullet"/>
      <w:lvlText w:val="■"/>
      <w:lvlJc w:val="left"/>
      <w:pPr>
        <w:ind w:left="2160" w:hanging="360"/>
      </w:pPr>
    </w:lvl>
    <w:lvl w:ilvl="3" w:tplc="7182270C">
      <w:start w:val="1"/>
      <w:numFmt w:val="bullet"/>
      <w:lvlText w:val="●"/>
      <w:lvlJc w:val="left"/>
      <w:pPr>
        <w:ind w:left="2880" w:hanging="360"/>
      </w:pPr>
    </w:lvl>
    <w:lvl w:ilvl="4" w:tplc="6B1CA5FE">
      <w:start w:val="1"/>
      <w:numFmt w:val="bullet"/>
      <w:lvlText w:val="○"/>
      <w:lvlJc w:val="left"/>
      <w:pPr>
        <w:ind w:left="3600" w:hanging="360"/>
      </w:pPr>
    </w:lvl>
    <w:lvl w:ilvl="5" w:tplc="AC98C6B2">
      <w:start w:val="1"/>
      <w:numFmt w:val="bullet"/>
      <w:lvlText w:val="■"/>
      <w:lvlJc w:val="left"/>
      <w:pPr>
        <w:ind w:left="4320" w:hanging="360"/>
      </w:pPr>
    </w:lvl>
    <w:lvl w:ilvl="6" w:tplc="506007B0">
      <w:start w:val="1"/>
      <w:numFmt w:val="bullet"/>
      <w:lvlText w:val="●"/>
      <w:lvlJc w:val="left"/>
      <w:pPr>
        <w:ind w:left="5040" w:hanging="360"/>
      </w:pPr>
    </w:lvl>
    <w:lvl w:ilvl="7" w:tplc="438A8F46">
      <w:start w:val="1"/>
      <w:numFmt w:val="bullet"/>
      <w:lvlText w:val="●"/>
      <w:lvlJc w:val="left"/>
      <w:pPr>
        <w:ind w:left="5760" w:hanging="360"/>
      </w:pPr>
    </w:lvl>
    <w:lvl w:ilvl="8" w:tplc="E7E28DF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5A42F3"/>
    <w:multiLevelType w:val="hybridMultilevel"/>
    <w:tmpl w:val="52285778"/>
    <w:lvl w:ilvl="0" w:tplc="13C6D068">
      <w:start w:val="1"/>
      <w:numFmt w:val="bullet"/>
      <w:lvlText w:val="•"/>
      <w:lvlJc w:val="left"/>
      <w:pPr>
        <w:ind w:left="400" w:hanging="260"/>
      </w:pPr>
    </w:lvl>
    <w:lvl w:ilvl="1" w:tplc="9C70F35C">
      <w:numFmt w:val="decimal"/>
      <w:lvlText w:val=""/>
      <w:lvlJc w:val="left"/>
    </w:lvl>
    <w:lvl w:ilvl="2" w:tplc="ACA01934">
      <w:numFmt w:val="decimal"/>
      <w:lvlText w:val=""/>
      <w:lvlJc w:val="left"/>
    </w:lvl>
    <w:lvl w:ilvl="3" w:tplc="1FE055CC">
      <w:numFmt w:val="decimal"/>
      <w:lvlText w:val=""/>
      <w:lvlJc w:val="left"/>
    </w:lvl>
    <w:lvl w:ilvl="4" w:tplc="DBCA7634">
      <w:numFmt w:val="decimal"/>
      <w:lvlText w:val=""/>
      <w:lvlJc w:val="left"/>
    </w:lvl>
    <w:lvl w:ilvl="5" w:tplc="297AA98C">
      <w:numFmt w:val="decimal"/>
      <w:lvlText w:val=""/>
      <w:lvlJc w:val="left"/>
    </w:lvl>
    <w:lvl w:ilvl="6" w:tplc="DAB04738">
      <w:numFmt w:val="decimal"/>
      <w:lvlText w:val=""/>
      <w:lvlJc w:val="left"/>
    </w:lvl>
    <w:lvl w:ilvl="7" w:tplc="85BE6296">
      <w:numFmt w:val="decimal"/>
      <w:lvlText w:val=""/>
      <w:lvlJc w:val="left"/>
    </w:lvl>
    <w:lvl w:ilvl="8" w:tplc="A1863FB6">
      <w:numFmt w:val="decimal"/>
      <w:lvlText w:val=""/>
      <w:lvlJc w:val="left"/>
    </w:lvl>
  </w:abstractNum>
  <w:num w:numId="1" w16cid:durableId="575016961">
    <w:abstractNumId w:val="0"/>
    <w:lvlOverride w:ilvl="0">
      <w:startOverride w:val="1"/>
    </w:lvlOverride>
  </w:num>
  <w:num w:numId="2" w16cid:durableId="1069005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60"/>
    <w:rsid w:val="00166CC6"/>
    <w:rsid w:val="005906B8"/>
    <w:rsid w:val="00736660"/>
    <w:rsid w:val="00D5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CF3CC"/>
  <w15:docId w15:val="{85623486-ED82-4229-B607-CFA0A620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622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 CAF Consulting</dc:title>
  <dc:creator>Claudia Arthur Flatz Consulting FlexCo</dc:creator>
  <cp:lastModifiedBy>Claudia Arthur-Flatz</cp:lastModifiedBy>
  <cp:revision>2</cp:revision>
  <dcterms:created xsi:type="dcterms:W3CDTF">2026-10-09T07:40:00Z</dcterms:created>
  <dcterms:modified xsi:type="dcterms:W3CDTF">2026-10-09T07:40:00Z</dcterms:modified>
</cp:coreProperties>
</file>